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5A5A5A"/>
          <w:spacing w:val="60"/>
          <w:sz w:val="18"/>
          <w:szCs w:val="18"/>
        </w:rPr>
        <w:t xml:space="preserve">TECHNICAL REPORT</w:t>
      </w:r>
    </w:p>
    <w:p>
      <w:pPr>
        <w:spacing w:after="60"/>
      </w:pPr>
      <w:r>
        <w:rPr>
          <w:rFonts w:ascii="Calibri" w:cs="Calibri" w:eastAsia="Calibri" w:hAnsi="Calibri"/>
          <w:b/>
          <w:bCs/>
          <w:color w:val="1A1A1A"/>
          <w:sz w:val="32"/>
          <w:szCs w:val="32"/>
        </w:rPr>
        <w:t xml:space="preserve">Section 7. Facility Improvements and Proposed Schedule</w:t>
      </w:r>
    </w:p>
    <w:p>
      <w:pPr>
        <w:pBdr>
          <w:bottom w:val="single" w:color="1A1A1A" w:sz="8"/>
        </w:pBdr>
        <w:spacing w:after="200"/>
      </w:pPr>
      <w:r>
        <w:rPr>
          <w:rFonts w:ascii="Calibri" w:cs="Calibri" w:eastAsia="Calibri" w:hAnsi="Calibri"/>
          <w:color w:val="5A5A5A"/>
          <w:sz w:val="19"/>
          <w:szCs w:val="19"/>
        </w:rPr>
        <w:t xml:space="preserve">General Waste Discharge Requirements for Winery Process Water, Order WQ 2021-0002-DWQ</w:t>
      </w:r>
    </w:p>
    <w:tbl>
      <w:tblPr>
        <w:tblW w:type="dxa" w:w="9360"/>
        <w:tblBorders>
          <w:top w:val="dashed" w:color="A8862B" w:sz="6"/>
          <w:left w:val="dashed" w:color="A8862B" w:sz="6"/>
          <w:bottom w:val="dashed" w:color="A8862B" w:sz="6"/>
          <w:right w:val="dashed" w:color="A8862B" w:sz="6"/>
          <w:insideH w:val="none"/>
          <w:insideV w:val="none"/>
        </w:tblBorders>
      </w:tblPr>
      <w:tblGrid>
        <w:gridCol w:w="9360"/>
      </w:tblGrid>
      <w:tr>
        <w:trPr>
          <w:cantSplit/>
        </w:trPr>
        <w:tc>
          <w:tcPr>
            <w:tcW w:type="dxa" w:w="9360"/>
            <w:shd w:fill="FBF6E7" w:val="clear"/>
            <w:tcMar>
              <w:top w:type="dxa" w:w="160"/>
              <w:left w:type="dxa" w:w="200"/>
              <w:bottom w:type="dxa" w:w="160"/>
              <w:right w:type="dxa" w:w="200"/>
            </w:tcMar>
          </w:tcPr>
          <w:p>
            <w:pPr>
              <w:spacing w:after="110"/>
            </w:pPr>
            <w:r>
              <w:rPr>
                <w:rFonts w:ascii="Calibri" w:cs="Calibri" w:eastAsia="Calibri" w:hAnsi="Calibri"/>
                <w:b/>
                <w:bCs/>
                <w:color w:val="A8862B"/>
                <w:spacing w:val="40"/>
                <w:sz w:val="15"/>
                <w:szCs w:val="15"/>
              </w:rPr>
              <w:t xml:space="preserve">GUIDANCE  -  DELETE THIS BOX BEFORE FILING</w:t>
            </w:r>
          </w:p>
          <w:p>
            <w:pPr>
              <w:spacing w:after="140" w:before="0" w:line="264"/>
            </w:pPr>
            <w:r>
              <w:rPr>
                <w:rFonts w:ascii="Calibri" w:cs="Calibri" w:eastAsia="Calibri" w:hAnsi="Calibri"/>
                <w:b/>
                <w:bCs/>
                <w:color w:val="1A1A1A"/>
                <w:sz w:val="20"/>
                <w:szCs w:val="20"/>
              </w:rPr>
              <w:t xml:space="preserve">How to use this template. </w:t>
            </w:r>
            <w:r>
              <w:rPr>
                <w:rFonts w:ascii="Calibri" w:cs="Calibri" w:eastAsia="Calibri" w:hAnsi="Calibri"/>
                <w:color w:val="1A1A1A"/>
                <w:sz w:val="20"/>
                <w:szCs w:val="20"/>
              </w:rPr>
              <w:t xml:space="preserve">This is a starting structure, not a completed report. It is written for any California winery enrolling under the statewide Winery Order and applies to no particular facility. Delete every row that does not describe yours, add rows for the things that do, and replace every </w:t>
            </w:r>
            <w:r>
              <w:rPr>
                <w:rFonts w:ascii="Calibri" w:cs="Calibri" w:eastAsia="Calibri" w:hAnsi="Calibri"/>
                <w:b/>
                <w:bCs/>
                <w:color w:val="1A1A1A"/>
                <w:sz w:val="20"/>
                <w:szCs w:val="20"/>
              </w:rPr>
              <w:t xml:space="preserve">[bracketed placeholder]</w:t>
            </w:r>
            <w:r>
              <w:rPr>
                <w:rFonts w:ascii="Calibri" w:cs="Calibri" w:eastAsia="Calibri" w:hAnsi="Calibri"/>
                <w:color w:val="1A1A1A"/>
                <w:sz w:val="20"/>
                <w:szCs w:val="20"/>
              </w:rPr>
              <w:t xml:space="preserve">. Delete every box like this one before you file. Nothing here is advice about your facility.</w:t>
            </w:r>
          </w:p>
          <w:p>
            <w:pPr>
              <w:spacing w:after="140" w:before="0" w:line="264"/>
            </w:pPr>
            <w:r>
              <w:rPr>
                <w:rFonts w:ascii="Calibri" w:cs="Calibri" w:eastAsia="Calibri" w:hAnsi="Calibri"/>
                <w:b/>
                <w:bCs/>
                <w:color w:val="1A1A1A"/>
                <w:sz w:val="20"/>
                <w:szCs w:val="20"/>
              </w:rPr>
              <w:t xml:space="preserve">What Section 7 actually asks for. </w:t>
            </w:r>
            <w:r>
              <w:rPr>
                <w:rFonts w:ascii="Calibri" w:cs="Calibri" w:eastAsia="Calibri" w:hAnsi="Calibri"/>
                <w:color w:val="1A1A1A"/>
                <w:sz w:val="20"/>
                <w:szCs w:val="20"/>
              </w:rPr>
              <w:t xml:space="preserve">Three things, in the Order’s own words: what at your facility does not yet meet the Order, what you intend to do about it, and when each piece will be done. If a proposed date runs past a compliance timeframe the Order sets, you have to justify it, and the Order expressly allows economic as well as technical justification.</w:t>
            </w:r>
          </w:p>
          <w:p>
            <w:pPr>
              <w:spacing w:after="0" w:before="0" w:line="264"/>
            </w:pPr>
            <w:r>
              <w:rPr>
                <w:rFonts w:ascii="Calibri" w:cs="Calibri" w:eastAsia="Calibri" w:hAnsi="Calibri"/>
                <w:b/>
                <w:bCs/>
                <w:color w:val="1A1A1A"/>
                <w:sz w:val="20"/>
                <w:szCs w:val="20"/>
              </w:rPr>
              <w:t xml:space="preserve">Why this matters more than it looks. </w:t>
            </w:r>
            <w:r>
              <w:rPr>
                <w:rFonts w:ascii="Calibri" w:cs="Calibri" w:eastAsia="Calibri" w:hAnsi="Calibri"/>
                <w:color w:val="1A1A1A"/>
                <w:sz w:val="20"/>
                <w:szCs w:val="20"/>
              </w:rPr>
              <w:t xml:space="preserve">Attachment C is explicit that “misstatements, errors, or omissions that exist in the technical report may be included in the NOA and become enforceable.” What you write here can become a commitment you are held to. Write what you can actually deliver.</w:t>
            </w:r>
          </w:p>
        </w:tc>
      </w:tr>
    </w:tbl>
    <w:p>
      <w:pPr>
        <w:pStyle w:val="Heading1"/>
        <w:spacing w:after="140" w:before="340"/>
      </w:pPr>
      <w:r>
        <w:rPr>
          <w:rFonts w:ascii="Calibri" w:cs="Calibri" w:eastAsia="Calibri" w:hAnsi="Calibri"/>
          <w:b/>
          <w:bCs/>
          <w:color w:val="1A1A1A"/>
          <w:sz w:val="26"/>
          <w:szCs w:val="26"/>
        </w:rPr>
        <w:t xml:space="preserve">Facility identification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tblHeader/>
        </w:trPr>
        <w:tc>
          <w:tcPr>
            <w:tcW w:type="dxa" w:w="2700"/>
            <w:tcBorders>
              <w:top w:val="single" w:color="B4B4B4" w:sz="4"/>
              <w:left w:val="single" w:color="B4B4B4" w:sz="4"/>
              <w:bottom w:val="single" w:color="B4B4B4" w:sz="4"/>
              <w:right w:val="single" w:color="B4B4B4" w:sz="4"/>
            </w:tcBorders>
            <w:shd w:fill="E4E4E4" w:val="clear"/>
            <w:tcMar>
              <w:top w:type="dxa" w:w="90"/>
              <w:left w:type="dxa" w:w="120"/>
              <w:bottom w:type="dxa" w:w="90"/>
              <w:right w:type="dxa" w:w="120"/>
            </w:tcMar>
          </w:tcPr>
          <w:p>
            <w:pPr>
              <w:spacing w:after="0"/>
            </w:pPr>
            <w:r>
              <w:rPr>
                <w:rFonts w:ascii="Calibri" w:cs="Calibri" w:eastAsia="Calibri" w:hAnsi="Calibri"/>
                <w:b/>
                <w:bCs/>
                <w:color w:val="1A1A1A"/>
                <w:sz w:val="17"/>
                <w:szCs w:val="17"/>
              </w:rPr>
              <w:t xml:space="preserve">Item</w:t>
            </w:r>
          </w:p>
        </w:tc>
        <w:tc>
          <w:tcPr>
            <w:tcW w:type="dxa" w:w="6660"/>
            <w:tcBorders>
              <w:top w:val="single" w:color="B4B4B4" w:sz="4"/>
              <w:left w:val="single" w:color="B4B4B4" w:sz="4"/>
              <w:bottom w:val="single" w:color="B4B4B4" w:sz="4"/>
              <w:right w:val="single" w:color="B4B4B4" w:sz="4"/>
            </w:tcBorders>
            <w:shd w:fill="E4E4E4" w:val="clear"/>
            <w:tcMar>
              <w:top w:type="dxa" w:w="90"/>
              <w:left w:type="dxa" w:w="120"/>
              <w:bottom w:type="dxa" w:w="90"/>
              <w:right w:type="dxa" w:w="120"/>
            </w:tcMar>
          </w:tcPr>
          <w:p>
            <w:pPr>
              <w:spacing w:after="0"/>
            </w:pPr>
            <w:r>
              <w:rPr>
                <w:rFonts w:ascii="Calibri" w:cs="Calibri" w:eastAsia="Calibri" w:hAnsi="Calibri"/>
                <w:b/>
                <w:bCs/>
                <w:color w:val="1A1A1A"/>
                <w:sz w:val="17"/>
                <w:szCs w:val="17"/>
              </w:rPr>
              <w:t xml:space="preserve">Entry</w:t>
            </w:r>
          </w:p>
        </w:tc>
      </w:tr>
      <w:tr>
        <w:tc>
          <w:tcPr>
            <w:tcW w:type="dxa" w:w="27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Facility name</w:t>
            </w:r>
          </w:p>
        </w:tc>
        <w:tc>
          <w:tcPr>
            <w:tcW w:type="dxa" w:w="666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[Facility name]</w:t>
            </w:r>
          </w:p>
        </w:tc>
      </w:tr>
      <w:tr>
        <w:tc>
          <w:tcPr>
            <w:tcW w:type="dxa" w:w="27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Facility address</w:t>
            </w:r>
          </w:p>
        </w:tc>
        <w:tc>
          <w:tcPr>
            <w:tcW w:type="dxa" w:w="666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[Street address, city, CA, ZIP]</w:t>
            </w:r>
          </w:p>
        </w:tc>
      </w:tr>
      <w:tr>
        <w:tc>
          <w:tcPr>
            <w:tcW w:type="dxa" w:w="27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Assessor's Parcel Number(s)</w:t>
            </w:r>
          </w:p>
        </w:tc>
        <w:tc>
          <w:tcPr>
            <w:tcW w:type="dxa" w:w="666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[APN(s)]</w:t>
            </w:r>
          </w:p>
        </w:tc>
      </w:tr>
      <w:tr>
        <w:tc>
          <w:tcPr>
            <w:tcW w:type="dxa" w:w="27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WDID number, if already assigned</w:t>
            </w:r>
          </w:p>
        </w:tc>
        <w:tc>
          <w:tcPr>
            <w:tcW w:type="dxa" w:w="666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[WDID, or "not yet assigned"]</w:t>
            </w:r>
          </w:p>
        </w:tc>
      </w:tr>
      <w:tr>
        <w:tc>
          <w:tcPr>
            <w:tcW w:type="dxa" w:w="27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Regional water board</w:t>
            </w:r>
          </w:p>
        </w:tc>
        <w:tc>
          <w:tcPr>
            <w:tcW w:type="dxa" w:w="666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[Which of the nine regional boards holds this facility]</w:t>
            </w:r>
          </w:p>
        </w:tc>
      </w:tr>
      <w:tr>
        <w:tc>
          <w:tcPr>
            <w:tcW w:type="dxa" w:w="27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Proposed General Order tier</w:t>
            </w:r>
          </w:p>
        </w:tc>
        <w:tc>
          <w:tcPr>
            <w:tcW w:type="dxa" w:w="666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[Exempt / Tier 1 / Tier 2 / Tier 3 / Tier 4]</w:t>
            </w:r>
          </w:p>
        </w:tc>
      </w:tr>
      <w:tr>
        <w:tc>
          <w:tcPr>
            <w:tcW w:type="dxa" w:w="27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Date prepared</w:t>
            </w:r>
          </w:p>
        </w:tc>
        <w:tc>
          <w:tcPr>
            <w:tcW w:type="dxa" w:w="666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[Month day, year]</w:t>
            </w:r>
          </w:p>
        </w:tc>
      </w:tr>
      <w:tr>
        <w:tc>
          <w:tcPr>
            <w:tcW w:type="dxa" w:w="27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Prepared by</w:t>
            </w:r>
          </w:p>
        </w:tc>
        <w:tc>
          <w:tcPr>
            <w:tcW w:type="dxa" w:w="666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[Name, title, company if applicable]</w:t>
            </w:r>
          </w:p>
        </w:tc>
      </w:tr>
    </w:tbl>
    <w:p>
      <w:pPr>
        <w:spacing w:after="0" w:before="180" w:line="264"/>
      </w:pPr>
      <w:r>
        <w:rPr>
          <w:rFonts w:ascii="Calibri" w:cs="Calibri" w:eastAsia="Calibri" w:hAnsi="Calibri"/>
          <w:b/>
          <w:bCs/>
          <w:color w:val="1A1A1A"/>
          <w:sz w:val="20"/>
          <w:szCs w:val="20"/>
        </w:rPr>
        <w:t xml:space="preserve">Your tier decides which rows of the next table apply to you. </w:t>
      </w:r>
      <w:r>
        <w:rPr>
          <w:rFonts w:ascii="Calibri" w:cs="Calibri" w:eastAsia="Calibri" w:hAnsi="Calibri"/>
          <w:color w:val="1A1A1A"/>
          <w:sz w:val="20"/>
          <w:szCs w:val="20"/>
        </w:rPr>
        <w:t xml:space="preserve">Several of the Order’s requirements are written for Tiers 2, 3 and 4 only, and one is Tier 4 only. Settle your tier before filling anything else in.</w:t>
      </w:r>
    </w:p>
    <w:p>
      <w:pPr>
        <w:pStyle w:val="Heading1"/>
        <w:spacing w:after="140" w:before="340"/>
      </w:pPr>
      <w:r>
        <w:rPr>
          <w:rFonts w:ascii="Calibri" w:cs="Calibri" w:eastAsia="Calibri" w:hAnsi="Calibri"/>
          <w:b/>
          <w:bCs/>
          <w:color w:val="1A1A1A"/>
          <w:sz w:val="26"/>
          <w:szCs w:val="26"/>
        </w:rPr>
        <w:t xml:space="preserve">7.1  Statement of scope</w:t>
      </w:r>
    </w:p>
    <w:p>
      <w:pPr>
        <w:spacing w:after="120" w:before="0" w:line="264"/>
      </w:pPr>
      <w:r>
        <w:rPr>
          <w:rFonts w:ascii="Calibri" w:cs="Calibri" w:eastAsia="Calibri" w:hAnsi="Calibri"/>
          <w:color w:val="1A1A1A"/>
          <w:sz w:val="20"/>
          <w:szCs w:val="20"/>
        </w:rPr>
        <w:t xml:space="preserve">This Section 7 addresses Facility Improvements and Proposed Schedule for [Facility name] (the "Facility"), located at [address], as part of the Facility’s application for coverage under State Water Resources Control Board Order WQ 2021-0002-DWQ (the "General Order").</w:t>
      </w:r>
    </w:p>
    <w:p>
      <w:pPr>
        <w:spacing w:after="120" w:before="0" w:line="264"/>
      </w:pPr>
      <w:r>
        <w:rPr>
          <w:rFonts w:ascii="Calibri" w:cs="Calibri" w:eastAsia="Calibri" w:hAnsi="Calibri"/>
          <w:i/>
          <w:iCs/>
          <w:color w:val="5A5A5A"/>
          <w:sz w:val="20"/>
          <w:szCs w:val="20"/>
        </w:rPr>
        <w:t xml:space="preserve">[If you are enrolling through a streamlined or transition process rather than as a new applicant, say so here and name the guidance you are relying on and its date. If you are a new applicant, delete this sentence.]</w:t>
      </w:r>
    </w:p>
    <w:p>
      <w:pPr>
        <w:pStyle w:val="Heading1"/>
        <w:spacing w:after="140" w:before="340"/>
      </w:pPr>
      <w:r>
        <w:rPr>
          <w:rFonts w:ascii="Calibri" w:cs="Calibri" w:eastAsia="Calibri" w:hAnsi="Calibri"/>
          <w:b/>
          <w:bCs/>
          <w:color w:val="1A1A1A"/>
          <w:sz w:val="26"/>
          <w:szCs w:val="26"/>
        </w:rPr>
        <w:t xml:space="preserve">7.2  Requirements with deadlines set by the General Order</w:t>
      </w:r>
    </w:p>
    <w:p>
      <w:pPr>
        <w:spacing w:after="120" w:before="0" w:line="264"/>
      </w:pPr>
      <w:r>
        <w:rPr>
          <w:rFonts w:ascii="Calibri" w:cs="Calibri" w:eastAsia="Calibri" w:hAnsi="Calibri"/>
          <w:color w:val="1A1A1A"/>
          <w:sz w:val="20"/>
          <w:szCs w:val="20"/>
        </w:rPr>
        <w:t xml:space="preserve">These are obligations the General Order places on every discharger in the tiers shown, on a clock that starts when your Notice of Applicability issues. They are not facility-specific findings. For each one, state whether the Facility already complies, and if not, what will be done and when.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0"/>
        <w:gridCol w:w="1150"/>
        <w:gridCol w:w="1500"/>
        <w:gridCol w:w="4530"/>
      </w:tblGrid>
      <w:tr>
        <w:trPr>
          <w:tblHeader/>
        </w:trPr>
        <w:tc>
          <w:tcPr>
            <w:tcW w:type="dxa" w:w="2180"/>
            <w:tcBorders>
              <w:top w:val="single" w:color="B4B4B4" w:sz="4"/>
              <w:left w:val="single" w:color="B4B4B4" w:sz="4"/>
              <w:bottom w:val="single" w:color="B4B4B4" w:sz="4"/>
              <w:right w:val="single" w:color="B4B4B4" w:sz="4"/>
            </w:tcBorders>
            <w:shd w:fill="E4E4E4" w:val="clear"/>
            <w:tcMar>
              <w:top w:type="dxa" w:w="90"/>
              <w:left w:type="dxa" w:w="120"/>
              <w:bottom w:type="dxa" w:w="90"/>
              <w:right w:type="dxa" w:w="120"/>
            </w:tcMar>
          </w:tcPr>
          <w:p>
            <w:pPr>
              <w:spacing w:after="0"/>
            </w:pPr>
            <w:r>
              <w:rPr>
                <w:rFonts w:ascii="Calibri" w:cs="Calibri" w:eastAsia="Calibri" w:hAnsi="Calibri"/>
                <w:b/>
                <w:bCs/>
                <w:color w:val="1A1A1A"/>
                <w:sz w:val="17"/>
                <w:szCs w:val="17"/>
              </w:rPr>
              <w:t xml:space="preserve">Requirement</w:t>
            </w:r>
          </w:p>
        </w:tc>
        <w:tc>
          <w:tcPr>
            <w:tcW w:type="dxa" w:w="1150"/>
            <w:tcBorders>
              <w:top w:val="single" w:color="B4B4B4" w:sz="4"/>
              <w:left w:val="single" w:color="B4B4B4" w:sz="4"/>
              <w:bottom w:val="single" w:color="B4B4B4" w:sz="4"/>
              <w:right w:val="single" w:color="B4B4B4" w:sz="4"/>
            </w:tcBorders>
            <w:shd w:fill="E4E4E4" w:val="clear"/>
            <w:tcMar>
              <w:top w:type="dxa" w:w="90"/>
              <w:left w:type="dxa" w:w="120"/>
              <w:bottom w:type="dxa" w:w="90"/>
              <w:right w:type="dxa" w:w="120"/>
            </w:tcMar>
          </w:tcPr>
          <w:p>
            <w:pPr>
              <w:spacing w:after="0"/>
            </w:pPr>
            <w:r>
              <w:rPr>
                <w:rFonts w:ascii="Calibri" w:cs="Calibri" w:eastAsia="Calibri" w:hAnsi="Calibri"/>
                <w:b/>
                <w:bCs/>
                <w:color w:val="1A1A1A"/>
                <w:sz w:val="17"/>
                <w:szCs w:val="17"/>
              </w:rPr>
              <w:t xml:space="preserve">Tiers</w:t>
            </w:r>
          </w:p>
        </w:tc>
        <w:tc>
          <w:tcPr>
            <w:tcW w:type="dxa" w:w="1500"/>
            <w:tcBorders>
              <w:top w:val="single" w:color="B4B4B4" w:sz="4"/>
              <w:left w:val="single" w:color="B4B4B4" w:sz="4"/>
              <w:bottom w:val="single" w:color="B4B4B4" w:sz="4"/>
              <w:right w:val="single" w:color="B4B4B4" w:sz="4"/>
            </w:tcBorders>
            <w:shd w:fill="E4E4E4" w:val="clear"/>
            <w:tcMar>
              <w:top w:type="dxa" w:w="90"/>
              <w:left w:type="dxa" w:w="120"/>
              <w:bottom w:type="dxa" w:w="90"/>
              <w:right w:type="dxa" w:w="120"/>
            </w:tcMar>
          </w:tcPr>
          <w:p>
            <w:pPr>
              <w:spacing w:after="0"/>
            </w:pPr>
            <w:r>
              <w:rPr>
                <w:rFonts w:ascii="Calibri" w:cs="Calibri" w:eastAsia="Calibri" w:hAnsi="Calibri"/>
                <w:b/>
                <w:bCs/>
                <w:color w:val="1A1A1A"/>
                <w:sz w:val="17"/>
                <w:szCs w:val="17"/>
              </w:rPr>
              <w:t xml:space="preserve">Deadline</w:t>
            </w:r>
          </w:p>
        </w:tc>
        <w:tc>
          <w:tcPr>
            <w:tcW w:type="dxa" w:w="4530"/>
            <w:tcBorders>
              <w:top w:val="single" w:color="B4B4B4" w:sz="4"/>
              <w:left w:val="single" w:color="B4B4B4" w:sz="4"/>
              <w:bottom w:val="single" w:color="B4B4B4" w:sz="4"/>
              <w:right w:val="single" w:color="B4B4B4" w:sz="4"/>
            </w:tcBorders>
            <w:shd w:fill="E4E4E4" w:val="clear"/>
            <w:tcMar>
              <w:top w:type="dxa" w:w="90"/>
              <w:left w:type="dxa" w:w="120"/>
              <w:bottom w:type="dxa" w:w="90"/>
              <w:right w:type="dxa" w:w="120"/>
            </w:tcMar>
          </w:tcPr>
          <w:p>
            <w:pPr>
              <w:spacing w:after="0"/>
            </w:pPr>
            <w:r>
              <w:rPr>
                <w:rFonts w:ascii="Calibri" w:cs="Calibri" w:eastAsia="Calibri" w:hAnsi="Calibri"/>
                <w:b/>
                <w:bCs/>
                <w:color w:val="1A1A1A"/>
                <w:sz w:val="17"/>
                <w:szCs w:val="17"/>
              </w:rPr>
              <w:t xml:space="preserve">Facility status and proposed action</w:t>
            </w:r>
          </w:p>
        </w:tc>
      </w:tr>
      <w:tr>
        <w:tc>
          <w:tcPr>
            <w:tcW w:type="dxa" w:w="21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Monitoring capability upgrades</w:t>
            </w:r>
          </w:p>
        </w:tc>
        <w:tc>
          <w:tcPr>
            <w:tcW w:type="dxa" w:w="115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All</w:t>
            </w:r>
          </w:p>
        </w:tc>
        <w:tc>
          <w:tcPr>
            <w:tcW w:type="dxa" w:w="15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90 days from NOA</w:t>
            </w:r>
          </w:p>
        </w:tc>
        <w:tc>
          <w:tcPr>
            <w:tcW w:type="dxa" w:w="453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[Complete facility upgrades so infrastructure can meet the MRP sampling and monitoring requirements. Describe status.]</w:t>
            </w:r>
          </w:p>
        </w:tc>
      </w:tr>
      <w:tr>
        <w:tc>
          <w:tcPr>
            <w:tcW w:type="dxa" w:w="21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Good housekeeping</w:t>
            </w:r>
          </w:p>
        </w:tc>
        <w:tc>
          <w:tcPr>
            <w:tcW w:type="dxa" w:w="115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2, 3, 4</w:t>
            </w:r>
          </w:p>
        </w:tc>
        <w:tc>
          <w:tcPr>
            <w:tcW w:type="dxa" w:w="15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90 days from NOA</w:t>
            </w:r>
          </w:p>
        </w:tc>
        <w:tc>
          <w:tcPr>
            <w:tcW w:type="dxa" w:w="453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[Dry sweeping instead of wet rinses, water conservation devices, pomace to solids collection rather than process drains, employee education. Describe status.]</w:t>
            </w:r>
          </w:p>
        </w:tc>
      </w:tr>
      <w:tr>
        <w:tc>
          <w:tcPr>
            <w:tcW w:type="dxa" w:w="21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Source control, softener brine</w:t>
            </w:r>
          </w:p>
        </w:tc>
        <w:tc>
          <w:tcPr>
            <w:tcW w:type="dxa" w:w="115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2, 3, 4</w:t>
            </w:r>
          </w:p>
        </w:tc>
        <w:tc>
          <w:tcPr>
            <w:tcW w:type="dxa" w:w="15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90 days from NOA</w:t>
            </w:r>
          </w:p>
        </w:tc>
        <w:tc>
          <w:tcPr>
            <w:tcW w:type="dxa" w:w="453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[Isolate water softener regeneration brine and dispose of it offsite rather than to the process water system. Note: discharge of water softener brine is separately prohibited outright.]</w:t>
            </w:r>
          </w:p>
        </w:tc>
      </w:tr>
      <w:tr>
        <w:tc>
          <w:tcPr>
            <w:tcW w:type="dxa" w:w="21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Solids management</w:t>
            </w:r>
          </w:p>
        </w:tc>
        <w:tc>
          <w:tcPr>
            <w:tcW w:type="dxa" w:w="115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2, 3, 4</w:t>
            </w:r>
          </w:p>
        </w:tc>
        <w:tc>
          <w:tcPr>
            <w:tcW w:type="dxa" w:w="15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180 days from NOA</w:t>
            </w:r>
          </w:p>
        </w:tc>
        <w:tc>
          <w:tcPr>
            <w:tcW w:type="dxa" w:w="453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[Screen, filter or otherwise minimize process solids reaching the process water system. Describe status.]</w:t>
            </w:r>
          </w:p>
        </w:tc>
      </w:tr>
      <w:tr>
        <w:tc>
          <w:tcPr>
            <w:tcW w:type="dxa" w:w="21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Sodium substitution</w:t>
            </w:r>
          </w:p>
        </w:tc>
        <w:tc>
          <w:tcPr>
            <w:tcW w:type="dxa" w:w="115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2, 3, 4</w:t>
            </w:r>
          </w:p>
        </w:tc>
        <w:tc>
          <w:tcPr>
            <w:tcW w:type="dxa" w:w="15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180 days from NOA</w:t>
            </w:r>
          </w:p>
        </w:tc>
        <w:tc>
          <w:tcPr>
            <w:tcW w:type="dxa" w:w="453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[Replace sodium-based chemicals with potassium-based or other non-sodium-based chemicals. The Order allows an exception where this is "technologically or economically infeasible" - if you are relying on that, say so and justify it here.]</w:t>
            </w:r>
          </w:p>
        </w:tc>
      </w:tr>
      <w:tr>
        <w:tc>
          <w:tcPr>
            <w:tcW w:type="dxa" w:w="21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Chemical reduction</w:t>
            </w:r>
          </w:p>
        </w:tc>
        <w:tc>
          <w:tcPr>
            <w:tcW w:type="dxa" w:w="115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2, 3, 4</w:t>
            </w:r>
          </w:p>
        </w:tc>
        <w:tc>
          <w:tcPr>
            <w:tcW w:type="dxa" w:w="15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180 days from NOA</w:t>
            </w:r>
          </w:p>
        </w:tc>
        <w:tc>
          <w:tcPr>
            <w:tcW w:type="dxa" w:w="453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[Measures to minimize chemical use, for example recovering and reusing chemical solutions. Describe status.]</w:t>
            </w:r>
          </w:p>
        </w:tc>
      </w:tr>
      <w:tr>
        <w:tc>
          <w:tcPr>
            <w:tcW w:type="dxa" w:w="21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Spill Prevention and Emergency Response Plan</w:t>
            </w:r>
          </w:p>
        </w:tc>
        <w:tc>
          <w:tcPr>
            <w:tcW w:type="dxa" w:w="115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3, 4</w:t>
            </w:r>
          </w:p>
        </w:tc>
        <w:tc>
          <w:tcPr>
            <w:tcW w:type="dxa" w:w="15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180 days from NOA</w:t>
            </w:r>
          </w:p>
        </w:tc>
        <w:tc>
          <w:tcPr>
            <w:tcW w:type="dxa" w:w="453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[Prepare the plan, train staff, keep it onsite and available on request. Describe status.]</w:t>
            </w:r>
          </w:p>
        </w:tc>
      </w:tr>
      <w:tr>
        <w:tc>
          <w:tcPr>
            <w:tcW w:type="dxa" w:w="21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Subsurface disposal daily flow limit</w:t>
            </w:r>
          </w:p>
        </w:tc>
        <w:tc>
          <w:tcPr>
            <w:tcW w:type="dxa" w:w="115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2, 3, 4</w:t>
            </w:r>
          </w:p>
        </w:tc>
        <w:tc>
          <w:tcPr>
            <w:tcW w:type="dxa" w:w="15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3 years from NOA</w:t>
            </w:r>
          </w:p>
        </w:tc>
        <w:tc>
          <w:tcPr>
            <w:tcW w:type="dxa" w:w="453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[Only if you operate an existing subsurface disposal system. Changes needed to meet the daily discharge flow limit in the Effluent Limitations section.]</w:t>
            </w:r>
          </w:p>
        </w:tc>
      </w:tr>
      <w:tr>
        <w:tc>
          <w:tcPr>
            <w:tcW w:type="dxa" w:w="21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Commingled process and domestic wastewater</w:t>
            </w:r>
          </w:p>
        </w:tc>
        <w:tc>
          <w:tcPr>
            <w:tcW w:type="dxa" w:w="115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All</w:t>
            </w:r>
          </w:p>
        </w:tc>
        <w:tc>
          <w:tcPr>
            <w:tcW w:type="dxa" w:w="15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3 years from NOA</w:t>
            </w:r>
          </w:p>
        </w:tc>
        <w:tc>
          <w:tcPr>
            <w:tcW w:type="dxa" w:w="453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[Only if your system commingles. See the note below this table - this one is usually a capital project and belongs in your schedule.]</w:t>
            </w:r>
          </w:p>
        </w:tc>
      </w:tr>
      <w:tr>
        <w:tc>
          <w:tcPr>
            <w:tcW w:type="dxa" w:w="21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Tier 4 groundwater monitoring wells</w:t>
            </w:r>
          </w:p>
        </w:tc>
        <w:tc>
          <w:tcPr>
            <w:tcW w:type="dxa" w:w="115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4</w:t>
            </w:r>
          </w:p>
        </w:tc>
        <w:tc>
          <w:tcPr>
            <w:tcW w:type="dxa" w:w="15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180 days from NOA for the work plan</w:t>
            </w:r>
          </w:p>
        </w:tc>
        <w:tc>
          <w:tcPr>
            <w:tcW w:type="dxa" w:w="453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[Only if required to install wells. Work plan and Sampling and Analysis Plan are due first. These must be prepared by, and the work supervised by, a qualified California Registered Civil Engineer or Geologist.]</w:t>
            </w:r>
          </w:p>
        </w:tc>
      </w:tr>
      <w:tr>
        <w:tc>
          <w:tcPr>
            <w:tcW w:type="dxa" w:w="21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Salt Control Plan</w:t>
            </w:r>
          </w:p>
        </w:tc>
        <w:tc>
          <w:tcPr>
            <w:tcW w:type="dxa" w:w="115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Conditional</w:t>
            </w:r>
          </w:p>
        </w:tc>
        <w:tc>
          <w:tcPr>
            <w:tcW w:type="dxa" w:w="15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1 year from the trigger</w:t>
            </w:r>
          </w:p>
        </w:tc>
        <w:tc>
          <w:tcPr>
            <w:tcW w:type="dxa" w:w="453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[Only if you exceed the FDS threshold or the Board notifies you. Delete if not applicable.]</w:t>
            </w:r>
          </w:p>
        </w:tc>
      </w:tr>
      <w:tr>
        <w:tc>
          <w:tcPr>
            <w:tcW w:type="dxa" w:w="21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Nitrogen Control Plan</w:t>
            </w:r>
          </w:p>
        </w:tc>
        <w:tc>
          <w:tcPr>
            <w:tcW w:type="dxa" w:w="115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Conditional</w:t>
            </w:r>
          </w:p>
        </w:tc>
        <w:tc>
          <w:tcPr>
            <w:tcW w:type="dxa" w:w="15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1 year from the trigger</w:t>
            </w:r>
          </w:p>
        </w:tc>
        <w:tc>
          <w:tcPr>
            <w:tcW w:type="dxa" w:w="453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[Only if you exceed the nitrogen limit, groundwater data shows impacts, or the Board notifies you. Delete if not applicable.]</w:t>
            </w:r>
          </w:p>
        </w:tc>
      </w:tr>
    </w:tbl>
    <w:p>
      <w:pPr>
        <w:spacing w:after="0" w:line="20"/>
      </w:pPr>
    </w:p>
    <w:tbl>
      <w:tblPr>
        <w:tblW w:type="dxa" w:w="9360"/>
        <w:tblBorders>
          <w:top w:val="dashed" w:color="A8862B" w:sz="6"/>
          <w:left w:val="dashed" w:color="A8862B" w:sz="6"/>
          <w:bottom w:val="dashed" w:color="A8862B" w:sz="6"/>
          <w:right w:val="dashed" w:color="A8862B" w:sz="6"/>
          <w:insideH w:val="none"/>
          <w:insideV w:val="none"/>
        </w:tblBorders>
      </w:tblPr>
      <w:tblGrid>
        <w:gridCol w:w="9360"/>
      </w:tblGrid>
      <w:tr>
        <w:trPr>
          <w:cantSplit/>
        </w:trPr>
        <w:tc>
          <w:tcPr>
            <w:tcW w:type="dxa" w:w="9360"/>
            <w:shd w:fill="FBF6E7" w:val="clear"/>
            <w:tcMar>
              <w:top w:type="dxa" w:w="160"/>
              <w:left w:type="dxa" w:w="200"/>
              <w:bottom w:type="dxa" w:w="160"/>
              <w:right w:type="dxa" w:w="200"/>
            </w:tcMar>
          </w:tcPr>
          <w:p>
            <w:pPr>
              <w:spacing w:after="110"/>
            </w:pPr>
            <w:r>
              <w:rPr>
                <w:rFonts w:ascii="Calibri" w:cs="Calibri" w:eastAsia="Calibri" w:hAnsi="Calibri"/>
                <w:b/>
                <w:bCs/>
                <w:color w:val="A8862B"/>
                <w:spacing w:val="40"/>
                <w:sz w:val="15"/>
                <w:szCs w:val="15"/>
              </w:rPr>
              <w:t xml:space="preserve">GUIDANCE  -  DELETE THIS BOX BEFORE FILING</w:t>
            </w:r>
          </w:p>
          <w:p>
            <w:pPr>
              <w:spacing w:after="0" w:before="0" w:line="264"/>
            </w:pPr>
            <w:r>
              <w:rPr>
                <w:rFonts w:ascii="Calibri" w:cs="Calibri" w:eastAsia="Calibri" w:hAnsi="Calibri"/>
                <w:b/>
                <w:bCs/>
                <w:color w:val="1A1A1A"/>
                <w:sz w:val="20"/>
                <w:szCs w:val="20"/>
              </w:rPr>
              <w:t xml:space="preserve">If your system commingles process water and domestic wastewater, read this before you write your schedule. </w:t>
            </w:r>
            <w:r>
              <w:rPr>
                <w:rFonts w:ascii="Calibri" w:cs="Calibri" w:eastAsia="Calibri" w:hAnsi="Calibri"/>
                <w:color w:val="1A1A1A"/>
                <w:sz w:val="20"/>
                <w:szCs w:val="20"/>
              </w:rPr>
              <w:t xml:space="preserve">The General Order does not permit a commingled system to stay commingled. Within three years of NOA issuance you must have done one of three things: obtained separate coverage from the regional water board, or from the local agency if the regional water board accepts it; modified the system so process water is no longer commingled, with a written plan to the Board 120 days beforehand; or modified to treat the streams separately and resized the subsurface disposal area to receive both, with a written plan and technical justification 120 days beforehand, Board approval, and the work finished within 180 days of that approval. This is normally a capital project, and it is exactly the kind of thing Section 7 exists to describe.</w:t>
            </w:r>
          </w:p>
        </w:tc>
      </w:tr>
    </w:tbl>
    <w:p>
      <w:pPr>
        <w:pStyle w:val="Heading1"/>
        <w:spacing w:after="140" w:before="340"/>
      </w:pPr>
      <w:r>
        <w:rPr>
          <w:rFonts w:ascii="Calibri" w:cs="Calibri" w:eastAsia="Calibri" w:hAnsi="Calibri"/>
          <w:b/>
          <w:bCs/>
          <w:color w:val="1A1A1A"/>
          <w:sz w:val="26"/>
          <w:szCs w:val="26"/>
        </w:rPr>
        <w:t xml:space="preserve">7.3  Facility-specific improvements</w:t>
      </w:r>
    </w:p>
    <w:p>
      <w:pPr>
        <w:spacing w:after="120" w:before="0" w:line="264"/>
      </w:pPr>
      <w:r>
        <w:rPr>
          <w:rFonts w:ascii="Calibri" w:cs="Calibri" w:eastAsia="Calibri" w:hAnsi="Calibri"/>
          <w:color w:val="1A1A1A"/>
          <w:sz w:val="20"/>
          <w:szCs w:val="20"/>
        </w:rPr>
        <w:t xml:space="preserve">Anything at your facility that does not yet meet the General Order and is not already covered above. Add a row per item and delete the examples. Cite the requirement you are responding to so the reviewer can follow your reasoning.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0"/>
        <w:gridCol w:w="3200"/>
        <w:gridCol w:w="2000"/>
        <w:gridCol w:w="1980"/>
      </w:tblGrid>
      <w:tr>
        <w:trPr>
          <w:tblHeader/>
        </w:trPr>
        <w:tc>
          <w:tcPr>
            <w:tcW w:type="dxa" w:w="2180"/>
            <w:tcBorders>
              <w:top w:val="single" w:color="B4B4B4" w:sz="4"/>
              <w:left w:val="single" w:color="B4B4B4" w:sz="4"/>
              <w:bottom w:val="single" w:color="B4B4B4" w:sz="4"/>
              <w:right w:val="single" w:color="B4B4B4" w:sz="4"/>
            </w:tcBorders>
            <w:shd w:fill="E4E4E4" w:val="clear"/>
            <w:tcMar>
              <w:top w:type="dxa" w:w="90"/>
              <w:left w:type="dxa" w:w="120"/>
              <w:bottom w:type="dxa" w:w="90"/>
              <w:right w:type="dxa" w:w="120"/>
            </w:tcMar>
          </w:tcPr>
          <w:p>
            <w:pPr>
              <w:spacing w:after="0"/>
            </w:pPr>
            <w:r>
              <w:rPr>
                <w:rFonts w:ascii="Calibri" w:cs="Calibri" w:eastAsia="Calibri" w:hAnsi="Calibri"/>
                <w:b/>
                <w:bCs/>
                <w:color w:val="1A1A1A"/>
                <w:sz w:val="17"/>
                <w:szCs w:val="17"/>
              </w:rPr>
              <w:t xml:space="preserve">Item</w:t>
            </w:r>
          </w:p>
        </w:tc>
        <w:tc>
          <w:tcPr>
            <w:tcW w:type="dxa" w:w="3200"/>
            <w:tcBorders>
              <w:top w:val="single" w:color="B4B4B4" w:sz="4"/>
              <w:left w:val="single" w:color="B4B4B4" w:sz="4"/>
              <w:bottom w:val="single" w:color="B4B4B4" w:sz="4"/>
              <w:right w:val="single" w:color="B4B4B4" w:sz="4"/>
            </w:tcBorders>
            <w:shd w:fill="E4E4E4" w:val="clear"/>
            <w:tcMar>
              <w:top w:type="dxa" w:w="90"/>
              <w:left w:type="dxa" w:w="120"/>
              <w:bottom w:type="dxa" w:w="90"/>
              <w:right w:type="dxa" w:w="120"/>
            </w:tcMar>
          </w:tcPr>
          <w:p>
            <w:pPr>
              <w:spacing w:after="0"/>
            </w:pPr>
            <w:r>
              <w:rPr>
                <w:rFonts w:ascii="Calibri" w:cs="Calibri" w:eastAsia="Calibri" w:hAnsi="Calibri"/>
                <w:b/>
                <w:bCs/>
                <w:color w:val="1A1A1A"/>
                <w:sz w:val="17"/>
                <w:szCs w:val="17"/>
              </w:rPr>
              <w:t xml:space="preserve">Description and current status</w:t>
            </w:r>
          </w:p>
        </w:tc>
        <w:tc>
          <w:tcPr>
            <w:tcW w:type="dxa" w:w="2000"/>
            <w:tcBorders>
              <w:top w:val="single" w:color="B4B4B4" w:sz="4"/>
              <w:left w:val="single" w:color="B4B4B4" w:sz="4"/>
              <w:bottom w:val="single" w:color="B4B4B4" w:sz="4"/>
              <w:right w:val="single" w:color="B4B4B4" w:sz="4"/>
            </w:tcBorders>
            <w:shd w:fill="E4E4E4" w:val="clear"/>
            <w:tcMar>
              <w:top w:type="dxa" w:w="90"/>
              <w:left w:type="dxa" w:w="120"/>
              <w:bottom w:type="dxa" w:w="90"/>
              <w:right w:type="dxa" w:w="120"/>
            </w:tcMar>
          </w:tcPr>
          <w:p>
            <w:pPr>
              <w:spacing w:after="0"/>
            </w:pPr>
            <w:r>
              <w:rPr>
                <w:rFonts w:ascii="Calibri" w:cs="Calibri" w:eastAsia="Calibri" w:hAnsi="Calibri"/>
                <w:b/>
                <w:bCs/>
                <w:color w:val="1A1A1A"/>
                <w:sz w:val="17"/>
                <w:szCs w:val="17"/>
              </w:rPr>
              <w:t xml:space="preserve">Requirement it responds to</w:t>
            </w:r>
          </w:p>
        </w:tc>
        <w:tc>
          <w:tcPr>
            <w:tcW w:type="dxa" w:w="1980"/>
            <w:tcBorders>
              <w:top w:val="single" w:color="B4B4B4" w:sz="4"/>
              <w:left w:val="single" w:color="B4B4B4" w:sz="4"/>
              <w:bottom w:val="single" w:color="B4B4B4" w:sz="4"/>
              <w:right w:val="single" w:color="B4B4B4" w:sz="4"/>
            </w:tcBorders>
            <w:shd w:fill="E4E4E4" w:val="clear"/>
            <w:tcMar>
              <w:top w:type="dxa" w:w="90"/>
              <w:left w:type="dxa" w:w="120"/>
              <w:bottom w:type="dxa" w:w="90"/>
              <w:right w:type="dxa" w:w="120"/>
            </w:tcMar>
          </w:tcPr>
          <w:p>
            <w:pPr>
              <w:spacing w:after="0"/>
            </w:pPr>
            <w:r>
              <w:rPr>
                <w:rFonts w:ascii="Calibri" w:cs="Calibri" w:eastAsia="Calibri" w:hAnsi="Calibri"/>
                <w:b/>
                <w:bCs/>
                <w:color w:val="1A1A1A"/>
                <w:sz w:val="17"/>
                <w:szCs w:val="17"/>
              </w:rPr>
              <w:t xml:space="preserve">Proposed completion</w:t>
            </w:r>
          </w:p>
        </w:tc>
      </w:tr>
      <w:tr>
        <w:tc>
          <w:tcPr>
            <w:tcW w:type="dxa" w:w="21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[Item]</w:t>
            </w:r>
          </w:p>
        </w:tc>
        <w:tc>
          <w:tcPr>
            <w:tcW w:type="dxa" w:w="32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[What exists now, what is deficient, and what you propose to do]</w:t>
            </w:r>
          </w:p>
        </w:tc>
        <w:tc>
          <w:tcPr>
            <w:tcW w:type="dxa" w:w="20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[Section of the General Order]</w:t>
            </w:r>
          </w:p>
        </w:tc>
        <w:tc>
          <w:tcPr>
            <w:tcW w:type="dxa" w:w="19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[Compliance year, or a date]</w:t>
            </w:r>
          </w:p>
        </w:tc>
      </w:tr>
      <w:tr>
        <w:tc>
          <w:tcPr>
            <w:tcW w:type="dxa" w:w="21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[Item]</w:t>
            </w:r>
          </w:p>
        </w:tc>
        <w:tc>
          <w:tcPr>
            <w:tcW w:type="dxa" w:w="32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 ]</w:t>
            </w:r>
          </w:p>
        </w:tc>
        <w:tc>
          <w:tcPr>
            <w:tcW w:type="dxa" w:w="20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 ]</w:t>
            </w:r>
          </w:p>
        </w:tc>
        <w:tc>
          <w:tcPr>
            <w:tcW w:type="dxa" w:w="19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 ]</w:t>
            </w:r>
          </w:p>
        </w:tc>
      </w:tr>
      <w:tr>
        <w:tc>
          <w:tcPr>
            <w:tcW w:type="dxa" w:w="21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[Item]</w:t>
            </w:r>
          </w:p>
        </w:tc>
        <w:tc>
          <w:tcPr>
            <w:tcW w:type="dxa" w:w="32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 ]</w:t>
            </w:r>
          </w:p>
        </w:tc>
        <w:tc>
          <w:tcPr>
            <w:tcW w:type="dxa" w:w="20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 ]</w:t>
            </w:r>
          </w:p>
        </w:tc>
        <w:tc>
          <w:tcPr>
            <w:tcW w:type="dxa" w:w="19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 ]</w:t>
            </w:r>
          </w:p>
        </w:tc>
      </w:tr>
      <w:tr>
        <w:tc>
          <w:tcPr>
            <w:tcW w:type="dxa" w:w="21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[Item]</w:t>
            </w:r>
          </w:p>
        </w:tc>
        <w:tc>
          <w:tcPr>
            <w:tcW w:type="dxa" w:w="32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 ]</w:t>
            </w:r>
          </w:p>
        </w:tc>
        <w:tc>
          <w:tcPr>
            <w:tcW w:type="dxa" w:w="20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 ]</w:t>
            </w:r>
          </w:p>
        </w:tc>
        <w:tc>
          <w:tcPr>
            <w:tcW w:type="dxa" w:w="198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 ]</w:t>
            </w:r>
          </w:p>
        </w:tc>
      </w:tr>
    </w:tbl>
    <w:p>
      <w:pPr>
        <w:spacing w:after="0" w:line="20"/>
      </w:pPr>
    </w:p>
    <w:tbl>
      <w:tblPr>
        <w:tblW w:type="dxa" w:w="9360"/>
        <w:tblBorders>
          <w:top w:val="dashed" w:color="A8862B" w:sz="6"/>
          <w:left w:val="dashed" w:color="A8862B" w:sz="6"/>
          <w:bottom w:val="dashed" w:color="A8862B" w:sz="6"/>
          <w:right w:val="dashed" w:color="A8862B" w:sz="6"/>
          <w:insideH w:val="none"/>
          <w:insideV w:val="none"/>
        </w:tblBorders>
      </w:tblPr>
      <w:tblGrid>
        <w:gridCol w:w="9360"/>
      </w:tblGrid>
      <w:tr>
        <w:trPr>
          <w:cantSplit/>
        </w:trPr>
        <w:tc>
          <w:tcPr>
            <w:tcW w:type="dxa" w:w="9360"/>
            <w:shd w:fill="FBF6E7" w:val="clear"/>
            <w:tcMar>
              <w:top w:type="dxa" w:w="160"/>
              <w:left w:type="dxa" w:w="200"/>
              <w:bottom w:type="dxa" w:w="160"/>
              <w:right w:type="dxa" w:w="200"/>
            </w:tcMar>
          </w:tcPr>
          <w:p>
            <w:pPr>
              <w:spacing w:after="110"/>
            </w:pPr>
            <w:r>
              <w:rPr>
                <w:rFonts w:ascii="Calibri" w:cs="Calibri" w:eastAsia="Calibri" w:hAnsi="Calibri"/>
                <w:b/>
                <w:bCs/>
                <w:color w:val="A8862B"/>
                <w:spacing w:val="40"/>
                <w:sz w:val="15"/>
                <w:szCs w:val="15"/>
              </w:rPr>
              <w:t xml:space="preserve">GUIDANCE  -  DELETE THIS BOX BEFORE FILING</w:t>
            </w:r>
          </w:p>
          <w:p>
            <w:pPr>
              <w:spacing w:after="0" w:before="0" w:line="264"/>
            </w:pPr>
            <w:r>
              <w:rPr>
                <w:rFonts w:ascii="Calibri" w:cs="Calibri" w:eastAsia="Calibri" w:hAnsi="Calibri"/>
                <w:b/>
                <w:bCs/>
                <w:color w:val="1A1A1A"/>
                <w:sz w:val="20"/>
                <w:szCs w:val="20"/>
              </w:rPr>
              <w:t xml:space="preserve">A caution about process water ponds. </w:t>
            </w:r>
            <w:r>
              <w:rPr>
                <w:rFonts w:ascii="Calibri" w:cs="Calibri" w:eastAsia="Calibri" w:hAnsi="Calibri"/>
                <w:color w:val="1A1A1A"/>
                <w:sz w:val="20"/>
                <w:szCs w:val="20"/>
              </w:rPr>
              <w:t xml:space="preserve">Do not assume a pond liner project belongs in your schedule. Under the Pond Specifications, a </w:t>
            </w:r>
            <w:r>
              <w:rPr>
                <w:rFonts w:ascii="Calibri" w:cs="Calibri" w:eastAsia="Calibri" w:hAnsi="Calibri"/>
                <w:b/>
                <w:bCs/>
                <w:color w:val="1A1A1A"/>
                <w:sz w:val="20"/>
                <w:szCs w:val="20"/>
              </w:rPr>
              <w:t xml:space="preserve">Tier 2 </w:t>
            </w:r>
            <w:r>
              <w:rPr>
                <w:rFonts w:ascii="Calibri" w:cs="Calibri" w:eastAsia="Calibri" w:hAnsi="Calibri"/>
                <w:color w:val="1A1A1A"/>
                <w:sz w:val="20"/>
                <w:szCs w:val="20"/>
              </w:rPr>
              <w:t xml:space="preserve">facility "may continue to operate an existing pond in its present lined or unlined state provided all other requirements of this General Order are met," with the liner status described in the NOI or technical report. Tiers 3 and 4 face a demonstration requirement instead, and the regional water board may separately require compliance with the liner standard within five years of notifying you. Committing to unnecessary capital work in an enforceable schedule is a real and avoidable cost.</w:t>
            </w:r>
          </w:p>
        </w:tc>
      </w:tr>
    </w:tbl>
    <w:p>
      <w:pPr>
        <w:pStyle w:val="Heading1"/>
        <w:spacing w:after="140" w:before="340"/>
      </w:pPr>
      <w:r>
        <w:rPr>
          <w:rFonts w:ascii="Calibri" w:cs="Calibri" w:eastAsia="Calibri" w:hAnsi="Calibri"/>
          <w:b/>
          <w:bCs/>
          <w:color w:val="1A1A1A"/>
          <w:sz w:val="26"/>
          <w:szCs w:val="26"/>
        </w:rPr>
        <w:t xml:space="preserve">7.4  Items still under evaluation</w:t>
      </w:r>
    </w:p>
    <w:p>
      <w:pPr>
        <w:spacing w:after="120" w:before="0" w:line="264"/>
      </w:pPr>
      <w:r>
        <w:rPr>
          <w:rFonts w:ascii="Calibri" w:cs="Calibri" w:eastAsia="Calibri" w:hAnsi="Calibri"/>
          <w:color w:val="1A1A1A"/>
          <w:sz w:val="20"/>
          <w:szCs w:val="20"/>
        </w:rPr>
        <w:t xml:space="preserve">Section 7 asks for improvements that are "not in immediate compliance" and a schedule for them. It does not require that every item be fully characterized at the point of enrollment, and Annual Reports during the compliance schedule are the mechanism for detail you do not have yet. Some regional boards have said so explicitly in their transition guidance. Name the categories you are still working through rather than leaving them out.</w:t>
      </w:r>
    </w:p>
    <w:p>
      <w:pPr>
        <w:spacing w:after="120" w:before="0" w:line="264"/>
      </w:pPr>
      <w:r>
        <w:rPr>
          <w:rFonts w:ascii="Calibri" w:cs="Calibri" w:eastAsia="Calibri" w:hAnsi="Calibri"/>
          <w:i/>
          <w:iCs/>
          <w:color w:val="5A5A5A"/>
          <w:sz w:val="20"/>
          <w:szCs w:val="20"/>
        </w:rPr>
        <w:t xml:space="preserve">[The Facility is continuing to evaluate [categories, for example treatment alternatives, chemical substitution options, monitoring network design]. Further detail, including the selected approach and its implementation schedule, will be provided in the Facility’s Annual Report or Reports submitted during the compliance schedule.]</w:t>
      </w:r>
    </w:p>
    <w:p>
      <w:pPr>
        <w:pStyle w:val="Heading1"/>
        <w:spacing w:after="140" w:before="340"/>
      </w:pPr>
      <w:r>
        <w:rPr>
          <w:rFonts w:ascii="Calibri" w:cs="Calibri" w:eastAsia="Calibri" w:hAnsi="Calibri"/>
          <w:b/>
          <w:bCs/>
          <w:color w:val="1A1A1A"/>
          <w:sz w:val="26"/>
          <w:szCs w:val="26"/>
        </w:rPr>
        <w:t xml:space="preserve">7.5  Proposed compliance schedule</w:t>
      </w:r>
    </w:p>
    <w:p>
      <w:pPr>
        <w:spacing w:after="120" w:before="0" w:line="264"/>
      </w:pPr>
      <w:r>
        <w:rPr>
          <w:rFonts w:ascii="Calibri" w:cs="Calibri" w:eastAsia="Calibri" w:hAnsi="Calibri"/>
          <w:b/>
          <w:bCs/>
          <w:color w:val="1A1A1A"/>
          <w:sz w:val="20"/>
          <w:szCs w:val="20"/>
        </w:rPr>
        <w:t xml:space="preserve">Read this before filling in the table. </w:t>
      </w:r>
      <w:r>
        <w:rPr>
          <w:rFonts w:ascii="Calibri" w:cs="Calibri" w:eastAsia="Calibri" w:hAnsi="Calibri"/>
          <w:color w:val="1A1A1A"/>
          <w:sz w:val="20"/>
          <w:szCs w:val="20"/>
        </w:rPr>
        <w:t xml:space="preserve">Finding 58 of the General Order says the proposed schedule "must be as short as practicable but may not exceed 5 years." Five years is a ceiling, not an entitlement. It also says the regional water board "may modify the proposed schedule as appropriate and will provide the approved schedule in the NOA." You are proposing; they are approving.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3200"/>
        <w:gridCol w:w="4660"/>
      </w:tblGrid>
      <w:tr>
        <w:trPr>
          <w:tblHeader/>
        </w:trPr>
        <w:tc>
          <w:tcPr>
            <w:tcW w:type="dxa" w:w="1500"/>
            <w:tcBorders>
              <w:top w:val="single" w:color="B4B4B4" w:sz="4"/>
              <w:left w:val="single" w:color="B4B4B4" w:sz="4"/>
              <w:bottom w:val="single" w:color="B4B4B4" w:sz="4"/>
              <w:right w:val="single" w:color="B4B4B4" w:sz="4"/>
            </w:tcBorders>
            <w:shd w:fill="E4E4E4" w:val="clear"/>
            <w:tcMar>
              <w:top w:type="dxa" w:w="90"/>
              <w:left w:type="dxa" w:w="120"/>
              <w:bottom w:type="dxa" w:w="90"/>
              <w:right w:type="dxa" w:w="120"/>
            </w:tcMar>
          </w:tcPr>
          <w:p>
            <w:pPr>
              <w:spacing w:after="0"/>
            </w:pPr>
            <w:r>
              <w:rPr>
                <w:rFonts w:ascii="Calibri" w:cs="Calibri" w:eastAsia="Calibri" w:hAnsi="Calibri"/>
                <w:b/>
                <w:bCs/>
                <w:color w:val="1A1A1A"/>
                <w:sz w:val="17"/>
                <w:szCs w:val="17"/>
              </w:rPr>
              <w:t xml:space="preserve">Compliance year</w:t>
            </w:r>
          </w:p>
        </w:tc>
        <w:tc>
          <w:tcPr>
            <w:tcW w:type="dxa" w:w="3200"/>
            <w:tcBorders>
              <w:top w:val="single" w:color="B4B4B4" w:sz="4"/>
              <w:left w:val="single" w:color="B4B4B4" w:sz="4"/>
              <w:bottom w:val="single" w:color="B4B4B4" w:sz="4"/>
              <w:right w:val="single" w:color="B4B4B4" w:sz="4"/>
            </w:tcBorders>
            <w:shd w:fill="E4E4E4" w:val="clear"/>
            <w:tcMar>
              <w:top w:type="dxa" w:w="90"/>
              <w:left w:type="dxa" w:w="120"/>
              <w:bottom w:type="dxa" w:w="90"/>
              <w:right w:type="dxa" w:w="120"/>
            </w:tcMar>
          </w:tcPr>
          <w:p>
            <w:pPr>
              <w:spacing w:after="0"/>
            </w:pPr>
            <w:r>
              <w:rPr>
                <w:rFonts w:ascii="Calibri" w:cs="Calibri" w:eastAsia="Calibri" w:hAnsi="Calibri"/>
                <w:b/>
                <w:bCs/>
                <w:color w:val="1A1A1A"/>
                <w:sz w:val="17"/>
                <w:szCs w:val="17"/>
              </w:rPr>
              <w:t xml:space="preserve">Reporting year covered</w:t>
            </w:r>
          </w:p>
        </w:tc>
        <w:tc>
          <w:tcPr>
            <w:tcW w:type="dxa" w:w="4660"/>
            <w:tcBorders>
              <w:top w:val="single" w:color="B4B4B4" w:sz="4"/>
              <w:left w:val="single" w:color="B4B4B4" w:sz="4"/>
              <w:bottom w:val="single" w:color="B4B4B4" w:sz="4"/>
              <w:right w:val="single" w:color="B4B4B4" w:sz="4"/>
            </w:tcBorders>
            <w:shd w:fill="E4E4E4" w:val="clear"/>
            <w:tcMar>
              <w:top w:type="dxa" w:w="90"/>
              <w:left w:type="dxa" w:w="120"/>
              <w:bottom w:type="dxa" w:w="90"/>
              <w:right w:type="dxa" w:w="120"/>
            </w:tcMar>
          </w:tcPr>
          <w:p>
            <w:pPr>
              <w:spacing w:after="0"/>
            </w:pPr>
            <w:r>
              <w:rPr>
                <w:rFonts w:ascii="Calibri" w:cs="Calibri" w:eastAsia="Calibri" w:hAnsi="Calibri"/>
                <w:b/>
                <w:bCs/>
                <w:color w:val="1A1A1A"/>
                <w:sz w:val="17"/>
                <w:szCs w:val="17"/>
              </w:rPr>
              <w:t xml:space="preserve">Planned actions and milestones</w:t>
            </w:r>
          </w:p>
        </w:tc>
      </w:tr>
      <w:tr>
        <w:tc>
          <w:tcPr>
            <w:tcW w:type="dxa" w:w="15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Year 1</w:t>
            </w:r>
          </w:p>
        </w:tc>
        <w:tc>
          <w:tcPr>
            <w:tcW w:type="dxa" w:w="32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[Calendar year]</w:t>
            </w:r>
          </w:p>
        </w:tc>
        <w:tc>
          <w:tcPr>
            <w:tcW w:type="dxa" w:w="466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[Milestones]</w:t>
            </w:r>
          </w:p>
        </w:tc>
      </w:tr>
      <w:tr>
        <w:tc>
          <w:tcPr>
            <w:tcW w:type="dxa" w:w="15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Year 2</w:t>
            </w:r>
          </w:p>
        </w:tc>
        <w:tc>
          <w:tcPr>
            <w:tcW w:type="dxa" w:w="32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 ]</w:t>
            </w:r>
          </w:p>
        </w:tc>
        <w:tc>
          <w:tcPr>
            <w:tcW w:type="dxa" w:w="466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 ]</w:t>
            </w:r>
          </w:p>
        </w:tc>
      </w:tr>
      <w:tr>
        <w:tc>
          <w:tcPr>
            <w:tcW w:type="dxa" w:w="15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Year 3</w:t>
            </w:r>
          </w:p>
        </w:tc>
        <w:tc>
          <w:tcPr>
            <w:tcW w:type="dxa" w:w="32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 ]</w:t>
            </w:r>
          </w:p>
        </w:tc>
        <w:tc>
          <w:tcPr>
            <w:tcW w:type="dxa" w:w="466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 ]</w:t>
            </w:r>
          </w:p>
        </w:tc>
      </w:tr>
      <w:tr>
        <w:tc>
          <w:tcPr>
            <w:tcW w:type="dxa" w:w="15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Year 4</w:t>
            </w:r>
          </w:p>
        </w:tc>
        <w:tc>
          <w:tcPr>
            <w:tcW w:type="dxa" w:w="32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 ]</w:t>
            </w:r>
          </w:p>
        </w:tc>
        <w:tc>
          <w:tcPr>
            <w:tcW w:type="dxa" w:w="466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 ]</w:t>
            </w:r>
          </w:p>
        </w:tc>
      </w:tr>
      <w:tr>
        <w:tc>
          <w:tcPr>
            <w:tcW w:type="dxa" w:w="15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b/>
                <w:bCs/>
                <w:color w:val="1A1A1A"/>
                <w:sz w:val="17"/>
                <w:szCs w:val="17"/>
              </w:rPr>
              <w:t xml:space="preserve">Year 5</w:t>
            </w:r>
          </w:p>
        </w:tc>
        <w:tc>
          <w:tcPr>
            <w:tcW w:type="dxa" w:w="320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 ]</w:t>
            </w:r>
          </w:p>
        </w:tc>
        <w:tc>
          <w:tcPr>
            <w:tcW w:type="dxa" w:w="4660"/>
            <w:tcBorders>
              <w:top w:val="single" w:color="B4B4B4" w:sz="4"/>
              <w:left w:val="single" w:color="B4B4B4" w:sz="4"/>
              <w:bottom w:val="single" w:color="B4B4B4" w:sz="4"/>
              <w:right w:val="single" w:color="B4B4B4" w:sz="4"/>
            </w:tcBorders>
            <w:tcMar>
              <w:top w:type="dxa" w:w="90"/>
              <w:left w:type="dxa" w:w="120"/>
              <w:bottom w:type="dxa" w:w="90"/>
              <w:right w:type="dxa" w:w="120"/>
            </w:tcMar>
          </w:tcPr>
          <w:p>
            <w:pPr>
              <w:spacing w:after="0" w:line="250"/>
            </w:pPr>
            <w:r>
              <w:rPr>
                <w:rFonts w:ascii="Calibri" w:cs="Calibri" w:eastAsia="Calibri" w:hAnsi="Calibri"/>
                <w:color w:val="1A1A1A"/>
                <w:sz w:val="17"/>
                <w:szCs w:val="17"/>
              </w:rPr>
              <w:t xml:space="preserve">[Final compliance actions and close-out]</w:t>
            </w:r>
          </w:p>
        </w:tc>
      </w:tr>
    </w:tbl>
    <w:p>
      <w:pPr>
        <w:spacing w:after="0" w:line="20"/>
      </w:pPr>
    </w:p>
    <w:tbl>
      <w:tblPr>
        <w:tblW w:type="dxa" w:w="9360"/>
        <w:tblBorders>
          <w:top w:val="dashed" w:color="A8862B" w:sz="6"/>
          <w:left w:val="dashed" w:color="A8862B" w:sz="6"/>
          <w:bottom w:val="dashed" w:color="A8862B" w:sz="6"/>
          <w:right w:val="dashed" w:color="A8862B" w:sz="6"/>
          <w:insideH w:val="none"/>
          <w:insideV w:val="none"/>
        </w:tblBorders>
      </w:tblPr>
      <w:tblGrid>
        <w:gridCol w:w="9360"/>
      </w:tblGrid>
      <w:tr>
        <w:trPr>
          <w:cantSplit/>
        </w:trPr>
        <w:tc>
          <w:tcPr>
            <w:tcW w:type="dxa" w:w="9360"/>
            <w:shd w:fill="FBF6E7" w:val="clear"/>
            <w:tcMar>
              <w:top w:type="dxa" w:w="160"/>
              <w:left w:type="dxa" w:w="200"/>
              <w:bottom w:type="dxa" w:w="160"/>
              <w:right w:type="dxa" w:w="200"/>
            </w:tcMar>
          </w:tcPr>
          <w:p>
            <w:pPr>
              <w:spacing w:after="110"/>
            </w:pPr>
            <w:r>
              <w:rPr>
                <w:rFonts w:ascii="Calibri" w:cs="Calibri" w:eastAsia="Calibri" w:hAnsi="Calibri"/>
                <w:b/>
                <w:bCs/>
                <w:color w:val="A8862B"/>
                <w:spacing w:val="40"/>
                <w:sz w:val="15"/>
                <w:szCs w:val="15"/>
              </w:rPr>
              <w:t xml:space="preserve">GUIDANCE  -  DELETE THIS BOX BEFORE FILING</w:t>
            </w:r>
          </w:p>
          <w:p>
            <w:pPr>
              <w:spacing w:after="130" w:before="0" w:line="264"/>
            </w:pPr>
            <w:r>
              <w:rPr>
                <w:rFonts w:ascii="Calibri" w:cs="Calibri" w:eastAsia="Calibri" w:hAnsi="Calibri"/>
                <w:b/>
                <w:bCs/>
                <w:color w:val="1A1A1A"/>
                <w:sz w:val="20"/>
                <w:szCs w:val="20"/>
              </w:rPr>
              <w:t xml:space="preserve">Two things in the published record that do not line up. </w:t>
            </w:r>
            <w:r>
              <w:rPr>
                <w:rFonts w:ascii="Calibri" w:cs="Calibri" w:eastAsia="Calibri" w:hAnsi="Calibri"/>
                <w:color w:val="1A1A1A"/>
                <w:sz w:val="20"/>
                <w:szCs w:val="20"/>
              </w:rPr>
              <w:t xml:space="preserve">Neither is settled, and both affect the dates you write above. Confirm with your regional water board rather than assuming.</w:t>
            </w:r>
          </w:p>
          <w:p>
            <w:pPr>
              <w:pStyle w:val="ListParagraph"/>
              <w:numPr>
                <w:ilvl w:val="0"/>
                <w:numId w:val="2"/>
              </w:numPr>
              <w:spacing w:after="90" w:line="250"/>
            </w:pPr>
            <w:r>
              <w:rPr>
                <w:rFonts w:ascii="Calibri" w:cs="Calibri" w:eastAsia="Calibri" w:hAnsi="Calibri"/>
                <w:b/>
                <w:bCs/>
                <w:color w:val="1A1A1A"/>
                <w:sz w:val="19"/>
                <w:szCs w:val="19"/>
              </w:rPr>
              <w:t xml:space="preserve">When the five years starts. </w:t>
            </w:r>
            <w:r>
              <w:rPr>
                <w:rFonts w:ascii="Calibri" w:cs="Calibri" w:eastAsia="Calibri" w:hAnsi="Calibri"/>
                <w:color w:val="1A1A1A"/>
                <w:sz w:val="19"/>
                <w:szCs w:val="19"/>
              </w:rPr>
              <w:t xml:space="preserve">Finding 58 of the General Order measures the compliance schedule "from the date of the NOI." Regional board transition guidance has described the same five years as running "from the date of enrollment," which is when the NOA issues. Those are different dates, and the gap between them is however long your board takes to process the application.</w:t>
            </w:r>
          </w:p>
          <w:p>
            <w:pPr>
              <w:pStyle w:val="ListParagraph"/>
              <w:numPr>
                <w:ilvl w:val="0"/>
                <w:numId w:val="2"/>
              </w:numPr>
              <w:spacing w:after="0" w:line="250"/>
            </w:pPr>
            <w:r>
              <w:rPr>
                <w:rFonts w:ascii="Calibri" w:cs="Calibri" w:eastAsia="Calibri" w:hAnsi="Calibri"/>
                <w:b/>
                <w:bCs/>
                <w:color w:val="1A1A1A"/>
                <w:sz w:val="19"/>
                <w:szCs w:val="19"/>
              </w:rPr>
              <w:t xml:space="preserve">When the Annual Report is due. </w:t>
            </w:r>
            <w:r>
              <w:rPr>
                <w:rFonts w:ascii="Calibri" w:cs="Calibri" w:eastAsia="Calibri" w:hAnsi="Calibri"/>
                <w:color w:val="1A1A1A"/>
                <w:sz w:val="19"/>
                <w:szCs w:val="19"/>
              </w:rPr>
              <w:t xml:space="preserve">Attachment G states both. Its narrative says the Annual Report "is due by April 1 after the reporting year." Table G-1, on the same page, gives the Annual Report due date as March 1. This template deliberately does not pick one.</w:t>
            </w:r>
          </w:p>
        </w:tc>
      </w:tr>
    </w:tbl>
    <w:p>
      <w:pPr>
        <w:spacing w:after="0" w:line="20"/>
      </w:pPr>
    </w:p>
    <w:tbl>
      <w:tblPr>
        <w:tblW w:type="dxa" w:w="9360"/>
        <w:tblBorders>
          <w:top w:val="dashed" w:color="A8862B" w:sz="6"/>
          <w:left w:val="dashed" w:color="A8862B" w:sz="6"/>
          <w:bottom w:val="dashed" w:color="A8862B" w:sz="6"/>
          <w:right w:val="dashed" w:color="A8862B" w:sz="6"/>
          <w:insideH w:val="none"/>
          <w:insideV w:val="none"/>
        </w:tblBorders>
      </w:tblPr>
      <w:tblGrid>
        <w:gridCol w:w="9360"/>
      </w:tblGrid>
      <w:tr>
        <w:trPr>
          <w:cantSplit/>
        </w:trPr>
        <w:tc>
          <w:tcPr>
            <w:tcW w:type="dxa" w:w="9360"/>
            <w:shd w:fill="FBF6E7" w:val="clear"/>
            <w:tcMar>
              <w:top w:type="dxa" w:w="160"/>
              <w:left w:type="dxa" w:w="200"/>
              <w:bottom w:type="dxa" w:w="160"/>
              <w:right w:type="dxa" w:w="200"/>
            </w:tcMar>
          </w:tcPr>
          <w:p>
            <w:pPr>
              <w:spacing w:after="110"/>
            </w:pPr>
            <w:r>
              <w:rPr>
                <w:rFonts w:ascii="Calibri" w:cs="Calibri" w:eastAsia="Calibri" w:hAnsi="Calibri"/>
                <w:b/>
                <w:bCs/>
                <w:color w:val="A8862B"/>
                <w:spacing w:val="40"/>
                <w:sz w:val="15"/>
                <w:szCs w:val="15"/>
              </w:rPr>
              <w:t xml:space="preserve">GUIDANCE  -  DELETE THIS BOX BEFORE FILING</w:t>
            </w:r>
          </w:p>
          <w:p>
            <w:pPr>
              <w:spacing w:after="0" w:before="0" w:line="264"/>
            </w:pPr>
            <w:r>
              <w:rPr>
                <w:rFonts w:ascii="Calibri" w:cs="Calibri" w:eastAsia="Calibri" w:hAnsi="Calibri"/>
                <w:b/>
                <w:bCs/>
                <w:color w:val="1A1A1A"/>
                <w:sz w:val="20"/>
                <w:szCs w:val="20"/>
              </w:rPr>
              <w:t xml:space="preserve">Where this came from. </w:t>
            </w:r>
            <w:r>
              <w:rPr>
                <w:rFonts w:ascii="Calibri" w:cs="Calibri" w:eastAsia="Calibri" w:hAnsi="Calibri"/>
                <w:color w:val="1A1A1A"/>
                <w:sz w:val="20"/>
                <w:szCs w:val="20"/>
              </w:rPr>
              <w:t xml:space="preserve">Downloaded from bcgnotify.com, a free regulatory tracking service published by BCG Water, LLC. It is a general template for public use, not facility-specific regulatory or engineering advice, and not a substitute for reading the order that applies to your facility. Deadlines and quoted phrases are taken from Order WQ 2021-0002-DWQ, adopted January 20, 2021. Where the published record is internally inconsistent, this template says so rather than choosing for you. Delete this box before filing.</w:t>
            </w:r>
          </w:p>
        </w:tc>
      </w:tr>
    </w:tbl>
    <w:sectPr>
      <w:footerReference w:type="default" r:id="rId7"/>
      <w:pgSz w:w="12240" w:h="15840" w:orient="portrait"/>
      <w:pgMar w:top="1180" w:right="1440" w:bottom="11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4B4B4" w:sz="4"/>
      </w:pBdr>
      <w:spacing w:after="0" w:before="0"/>
      <w:jc w:val="center"/>
    </w:pPr>
    <w:r>
      <w:rPr>
        <w:rFonts w:ascii="Calibri" w:cs="Calibri" w:eastAsia="Calibri" w:hAnsi="Calibri"/>
        <w:color w:val="5A5A5A"/>
        <w:sz w:val="15"/>
        <w:szCs w:val="15"/>
      </w:rPr>
      <w:t xml:space="preserve">Technical Report, Section 7  |  Order WQ 2021-0002-DWQ  |  Page </w:t>
    </w:r>
    <w:r>
      <w:rPr>
        <w:rFonts w:ascii="Calibri" w:cs="Calibri" w:eastAsia="Calibri" w:hAnsi="Calibri"/>
        <w:color w:val="5A5A5A"/>
        <w:sz w:val="15"/>
        <w:szCs w:val="15"/>
      </w:rPr>
      <w:fldChar w:fldCharType="begin"/>
      <w:instrText xml:space="preserve">PAGE</w:instrText>
      <w:fldChar w:fldCharType="separate"/>
      <w:fldChar w:fldCharType="end"/>
    </w:r>
    <w:r>
      <w:rPr>
        <w:rFonts w:ascii="Calibri" w:cs="Calibri" w:eastAsia="Calibri" w:hAnsi="Calibri"/>
        <w:color w:val="5A5A5A"/>
        <w:sz w:val="15"/>
        <w:szCs w:val="15"/>
      </w:rPr>
      <w:t xml:space="preserve"> of </w:t>
    </w:r>
    <w:r>
      <w:rPr>
        <w:rFonts w:ascii="Calibri" w:cs="Calibri" w:eastAsia="Calibri" w:hAnsi="Calibri"/>
        <w:color w:val="5A5A5A"/>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Report Section 7 template</dc:title>
  <dc:description>Section 7, Facility Improvements and Proposed Schedule, Order WQ 2021-0002-DWQ</dc:description>
  <cp:lastModifiedBy>Un-named</cp:lastModifiedBy>
  <cp:revision>1</cp:revision>
  <dcterms:created xsi:type="dcterms:W3CDTF">2026-08-29T16:41:44.659Z</dcterms:created>
  <dcterms:modified xsi:type="dcterms:W3CDTF">2026-08-29T16:41:44.660Z</dcterms:modified>
</cp:coreProperties>
</file>

<file path=docProps/custom.xml><?xml version="1.0" encoding="utf-8"?>
<Properties xmlns="http://schemas.openxmlformats.org/officeDocument/2006/custom-properties" xmlns:vt="http://schemas.openxmlformats.org/officeDocument/2006/docPropsVTypes"/>
</file>